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C5E5" w14:textId="3AD70045" w:rsidR="009727BD" w:rsidRPr="00FE4701" w:rsidRDefault="009727BD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4701">
        <w:rPr>
          <w:rFonts w:ascii="Arial" w:hAnsi="Arial" w:cs="Arial"/>
          <w:b/>
          <w:sz w:val="22"/>
          <w:szCs w:val="22"/>
          <w:u w:val="single"/>
        </w:rPr>
        <w:t xml:space="preserve">JUSTIFICATIVA </w:t>
      </w:r>
      <w:r w:rsidR="00944C2A">
        <w:rPr>
          <w:rFonts w:ascii="Arial" w:hAnsi="Arial" w:cs="Arial"/>
          <w:b/>
          <w:sz w:val="22"/>
          <w:szCs w:val="22"/>
          <w:u w:val="single"/>
        </w:rPr>
        <w:t>– INEXIGIBILIDADE DE LICITAÇÃO</w:t>
      </w:r>
    </w:p>
    <w:p w14:paraId="45D3CCBD" w14:textId="3117965C" w:rsidR="000D27C5" w:rsidRDefault="000D27C5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F01D10" w14:textId="77777777" w:rsidR="005E3C30" w:rsidRPr="00FE4701" w:rsidRDefault="005E3C30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6253BC" w14:textId="1D214F96" w:rsidR="009727BD" w:rsidRPr="00FE4701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Trata</w:t>
      </w:r>
      <w:r w:rsidR="008B7C65">
        <w:rPr>
          <w:rFonts w:ascii="Arial" w:hAnsi="Arial" w:cs="Arial"/>
          <w:sz w:val="22"/>
          <w:szCs w:val="22"/>
        </w:rPr>
        <w:t xml:space="preserve">m os autos </w:t>
      </w:r>
      <w:r w:rsidRPr="00FE4701">
        <w:rPr>
          <w:rFonts w:ascii="Arial" w:hAnsi="Arial" w:cs="Arial"/>
          <w:sz w:val="22"/>
          <w:szCs w:val="22"/>
        </w:rPr>
        <w:t xml:space="preserve">de procedimento que tem por objeto a contratação </w:t>
      </w:r>
      <w:r w:rsidR="00800C68" w:rsidRPr="00882681">
        <w:rPr>
          <w:rFonts w:ascii="Arial" w:hAnsi="Arial" w:cs="Arial"/>
          <w:color w:val="auto"/>
          <w:sz w:val="22"/>
          <w:szCs w:val="22"/>
        </w:rPr>
        <w:t xml:space="preserve">de </w:t>
      </w:r>
      <w:r w:rsidR="008B7C65" w:rsidRPr="00466A45">
        <w:rPr>
          <w:rFonts w:ascii="Arial" w:hAnsi="Arial" w:cs="Arial"/>
          <w:color w:val="auto"/>
          <w:sz w:val="22"/>
          <w:szCs w:val="22"/>
        </w:rPr>
        <w:t>empresa autorizada para prestação de serviço de revisão</w:t>
      </w:r>
      <w:r w:rsidR="008B7C65">
        <w:rPr>
          <w:rFonts w:ascii="Arial" w:hAnsi="Arial" w:cs="Arial"/>
          <w:color w:val="auto"/>
          <w:sz w:val="22"/>
          <w:szCs w:val="22"/>
        </w:rPr>
        <w:t xml:space="preserve"> programada</w:t>
      </w:r>
      <w:r w:rsidR="008B7C65" w:rsidRPr="00466A45">
        <w:rPr>
          <w:rFonts w:ascii="Arial" w:hAnsi="Arial" w:cs="Arial"/>
          <w:color w:val="auto"/>
          <w:sz w:val="22"/>
          <w:szCs w:val="22"/>
        </w:rPr>
        <w:t xml:space="preserve">, </w:t>
      </w:r>
      <w:r w:rsidR="008B7C65" w:rsidRPr="00F02369">
        <w:rPr>
          <w:rFonts w:ascii="Arial" w:hAnsi="Arial" w:cs="Arial"/>
          <w:color w:val="auto"/>
          <w:sz w:val="22"/>
          <w:szCs w:val="22"/>
        </w:rPr>
        <w:t>com fornecimento de peças e acessórios de reposição</w:t>
      </w:r>
      <w:r w:rsidR="008B7C65" w:rsidRPr="00466A45">
        <w:rPr>
          <w:rFonts w:ascii="Arial" w:hAnsi="Arial" w:cs="Arial"/>
          <w:color w:val="auto"/>
          <w:sz w:val="22"/>
          <w:szCs w:val="22"/>
        </w:rPr>
        <w:t xml:space="preserve">, durante o período de garantia de fábrica do veículo oficial </w:t>
      </w:r>
      <w:r w:rsidR="008B7C65" w:rsidRPr="00466A45">
        <w:rPr>
          <w:rFonts w:ascii="Arial" w:hAnsi="Arial" w:cs="Arial"/>
          <w:b/>
          <w:bCs/>
          <w:color w:val="auto"/>
          <w:sz w:val="22"/>
          <w:szCs w:val="22"/>
        </w:rPr>
        <w:t>Fiat/Cronos Precision 1.8 Flex Automático</w:t>
      </w:r>
      <w:r w:rsidR="008B7C65" w:rsidRPr="00466A45">
        <w:rPr>
          <w:rFonts w:ascii="Arial" w:hAnsi="Arial" w:cs="Arial"/>
          <w:color w:val="auto"/>
          <w:sz w:val="22"/>
          <w:szCs w:val="22"/>
        </w:rPr>
        <w:t>, pertencente à frota da Câmara Municipal de Pará de Minas</w:t>
      </w:r>
      <w:r w:rsidRPr="00FE4701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FE4701">
        <w:rPr>
          <w:rFonts w:ascii="Arial" w:hAnsi="Arial" w:cs="Arial"/>
          <w:b/>
          <w:sz w:val="22"/>
          <w:szCs w:val="22"/>
        </w:rPr>
        <w:t xml:space="preserve">fls. </w:t>
      </w:r>
      <w:r w:rsidR="00690C7E">
        <w:rPr>
          <w:rFonts w:ascii="Arial" w:hAnsi="Arial" w:cs="Arial"/>
          <w:b/>
          <w:sz w:val="22"/>
          <w:szCs w:val="22"/>
        </w:rPr>
        <w:t>11/15</w:t>
      </w:r>
      <w:r w:rsidRPr="00FE4701">
        <w:rPr>
          <w:rFonts w:ascii="Arial" w:hAnsi="Arial" w:cs="Arial"/>
          <w:sz w:val="22"/>
          <w:szCs w:val="22"/>
        </w:rPr>
        <w:t>.</w:t>
      </w:r>
    </w:p>
    <w:p w14:paraId="7C3354C5" w14:textId="77777777" w:rsidR="009727BD" w:rsidRPr="00FE4701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4804F9" w14:textId="77777777" w:rsidR="007716C7" w:rsidRPr="00FE4701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A exigência de licitar, prevista no art. 37, XXI, da Constituição Federal, existe para que sejam respeitados os princípios constitucionais da isonomia e da eficiência, mandamento este que também se encontra insculpido no art. 2º da Lei no 8.666/93. Por sua vez, a Lei 8.666/93 permite, em situações excepcionais, que se efetive a contratação sem a realização de prévio procedimento licitatório, uma vez que tal procedimento, em determinados casos, frustraria a concretização adequada das funções estatais, eis que o procedimento licitatório normal conduziria ao sacrifício dos fins buscados pelo Estado e não asseguraria uma contratação adequada.</w:t>
      </w:r>
    </w:p>
    <w:p w14:paraId="5DF3A497" w14:textId="77777777" w:rsidR="007716C7" w:rsidRPr="00FE4701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FE106A" w14:textId="4DF509FB" w:rsidR="007716C7" w:rsidRPr="00FE4701" w:rsidRDefault="00FE4701" w:rsidP="007716C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Pr="00FE4701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inviabilidade de competição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 na aquisição de bens ou prestação de serviço caracteriza na Administração Pública caso de </w:t>
      </w:r>
      <w:r w:rsidRPr="00FE4701">
        <w:rPr>
          <w:rFonts w:ascii="Arial" w:eastAsia="Times New Roman" w:hAnsi="Arial" w:cs="Arial"/>
          <w:b/>
          <w:bCs/>
          <w:i/>
          <w:iCs/>
          <w:sz w:val="22"/>
          <w:szCs w:val="22"/>
          <w:lang w:eastAsia="pt-BR"/>
        </w:rPr>
        <w:t>inexigibilidade de licitação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>, nos termos do artigo 25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>
        <w:rPr>
          <w:rFonts w:ascii="Arial" w:eastAsia="Times New Roman" w:hAnsi="Arial" w:cs="Arial"/>
          <w:i/>
          <w:iCs/>
          <w:sz w:val="22"/>
          <w:szCs w:val="22"/>
          <w:lang w:eastAsia="pt-BR"/>
        </w:rPr>
        <w:t>caput</w:t>
      </w:r>
      <w:r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 da Lei 8.666/93, de tal forma que a contratação direta se impõe em face da impossibilidade de concorrência, </w:t>
      </w:r>
      <w:r w:rsidRPr="00FE4701">
        <w:rPr>
          <w:rFonts w:ascii="Arial" w:hAnsi="Arial" w:cs="Arial"/>
          <w:sz w:val="22"/>
          <w:szCs w:val="22"/>
        </w:rPr>
        <w:t xml:space="preserve">devido à singularidade do objeto 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>como é o caso em tela.</w:t>
      </w:r>
    </w:p>
    <w:p w14:paraId="3BC8B15D" w14:textId="77777777" w:rsidR="00F27F2D" w:rsidRPr="00FE4701" w:rsidRDefault="00F27F2D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DC92D9" w14:textId="77777777" w:rsidR="00FE4701" w:rsidRPr="00AF6801" w:rsidRDefault="007716C7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administração, o artigo 26 da Lei 8.666/93 exige que as situações de inexigibilidade sejam devidamente justificadas.</w:t>
      </w:r>
      <w:r w:rsidR="00FE4701">
        <w:rPr>
          <w:rFonts w:ascii="Arial" w:hAnsi="Arial" w:cs="Arial"/>
          <w:sz w:val="22"/>
          <w:szCs w:val="22"/>
        </w:rPr>
        <w:t xml:space="preserve"> </w:t>
      </w:r>
      <w:r w:rsidR="00FE4701" w:rsidRPr="00AF6801">
        <w:rPr>
          <w:rFonts w:ascii="Arial" w:hAnsi="Arial" w:cs="Arial"/>
          <w:sz w:val="22"/>
          <w:szCs w:val="22"/>
        </w:rPr>
        <w:t xml:space="preserve">Sobre o assunto, o eminente professor Marçal Justen Filho, ensinou: </w:t>
      </w:r>
    </w:p>
    <w:p w14:paraId="40FA8AB0" w14:textId="77777777" w:rsidR="00FE4701" w:rsidRPr="00AF6801" w:rsidRDefault="00FE4701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442D4B" w14:textId="66A76584" w:rsidR="00FE4701" w:rsidRDefault="00FE4701" w:rsidP="00800C68">
      <w:pPr>
        <w:spacing w:line="276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0"/>
          <w:szCs w:val="20"/>
        </w:rPr>
        <w:t>“Tal como afirmado inúmeras vezes, é incorreto afirmar que a contratação direta exclui um “procedimento licitatório”. Os casos de dispensa e inexigibilidade de licitação envolvem, na verdade, um procedimento especial e simplificado para a seleção do contrato mais vantajoso para a Administração Pública. Há uma série ordenada de atos, colimando selecionar a melhor proposta e o contratante mais adequado. “Ausência de licitação” não significa desnecessidade de observar formalidades prévias (tais como verificação da necessidade e conveniência da contratação, disponibilidade de recursos etc.). Devem ser observados os princípios fundamentais da atividade administrativa, buscando selecionar a melhor contratação possível, segundo os princípios da licitação.”</w:t>
      </w:r>
      <w:r w:rsidR="007716C7" w:rsidRPr="00FE4701">
        <w:rPr>
          <w:rFonts w:ascii="Arial" w:hAnsi="Arial" w:cs="Arial"/>
          <w:sz w:val="22"/>
          <w:szCs w:val="22"/>
        </w:rPr>
        <w:t xml:space="preserve"> </w:t>
      </w:r>
    </w:p>
    <w:p w14:paraId="1800B8EB" w14:textId="77777777" w:rsidR="00FE4701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FC9BE" w14:textId="66144A2E" w:rsidR="007716C7" w:rsidRPr="0045511F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>Dessa forma, verifica-se no Termo de Referência a justificativa da necessidade da contratação</w:t>
      </w:r>
      <w:r w:rsidR="00690C7E">
        <w:rPr>
          <w:rFonts w:ascii="Arial" w:hAnsi="Arial" w:cs="Arial"/>
          <w:sz w:val="22"/>
          <w:szCs w:val="22"/>
        </w:rPr>
        <w:t xml:space="preserve"> </w:t>
      </w:r>
      <w:r w:rsidR="00690C7E" w:rsidRPr="00690C7E">
        <w:rPr>
          <w:rFonts w:ascii="Arial" w:hAnsi="Arial" w:cs="Arial"/>
          <w:b/>
          <w:bCs/>
          <w:sz w:val="22"/>
          <w:szCs w:val="22"/>
        </w:rPr>
        <w:t>(fls.11)</w:t>
      </w:r>
      <w:r w:rsidRPr="00AF6801">
        <w:rPr>
          <w:rFonts w:ascii="Arial" w:hAnsi="Arial" w:cs="Arial"/>
          <w:sz w:val="22"/>
          <w:szCs w:val="22"/>
        </w:rPr>
        <w:t>, da inviabilidade de competição</w:t>
      </w:r>
      <w:r w:rsidR="00690C7E">
        <w:rPr>
          <w:rFonts w:ascii="Arial" w:hAnsi="Arial" w:cs="Arial"/>
          <w:sz w:val="22"/>
          <w:szCs w:val="22"/>
        </w:rPr>
        <w:t xml:space="preserve"> </w:t>
      </w:r>
      <w:r w:rsidR="00690C7E" w:rsidRPr="00690C7E">
        <w:rPr>
          <w:rFonts w:ascii="Arial" w:hAnsi="Arial" w:cs="Arial"/>
          <w:b/>
          <w:bCs/>
          <w:sz w:val="22"/>
          <w:szCs w:val="22"/>
        </w:rPr>
        <w:t>(fls. 11-V)</w:t>
      </w:r>
      <w:r w:rsidRPr="00AF6801">
        <w:rPr>
          <w:rFonts w:ascii="Arial" w:hAnsi="Arial" w:cs="Arial"/>
          <w:sz w:val="22"/>
          <w:szCs w:val="22"/>
        </w:rPr>
        <w:t xml:space="preserve">, </w:t>
      </w:r>
      <w:r w:rsidR="008B7C65">
        <w:rPr>
          <w:rFonts w:ascii="Arial" w:hAnsi="Arial" w:cs="Arial"/>
          <w:sz w:val="22"/>
          <w:szCs w:val="22"/>
        </w:rPr>
        <w:t>d</w:t>
      </w:r>
      <w:r w:rsidRPr="00AF6801">
        <w:rPr>
          <w:rFonts w:ascii="Arial" w:hAnsi="Arial" w:cs="Arial"/>
          <w:sz w:val="22"/>
          <w:szCs w:val="22"/>
        </w:rPr>
        <w:t xml:space="preserve">a razão da escolha do prestador de </w:t>
      </w:r>
      <w:r w:rsidRPr="00D23FD1">
        <w:rPr>
          <w:rFonts w:ascii="Arial" w:hAnsi="Arial" w:cs="Arial"/>
          <w:sz w:val="22"/>
          <w:szCs w:val="22"/>
        </w:rPr>
        <w:t>serviço</w:t>
      </w:r>
      <w:r w:rsidR="00690C7E">
        <w:rPr>
          <w:rFonts w:ascii="Arial" w:hAnsi="Arial" w:cs="Arial"/>
          <w:sz w:val="22"/>
          <w:szCs w:val="22"/>
        </w:rPr>
        <w:t xml:space="preserve"> </w:t>
      </w:r>
      <w:r w:rsidR="00690C7E" w:rsidRPr="00690C7E">
        <w:rPr>
          <w:rFonts w:ascii="Arial" w:hAnsi="Arial" w:cs="Arial"/>
          <w:b/>
          <w:bCs/>
          <w:sz w:val="22"/>
          <w:szCs w:val="22"/>
        </w:rPr>
        <w:t>(fls. 11-V/12)</w:t>
      </w:r>
      <w:r w:rsidR="008B7C65">
        <w:rPr>
          <w:rFonts w:ascii="Arial" w:hAnsi="Arial" w:cs="Arial"/>
          <w:sz w:val="22"/>
          <w:szCs w:val="22"/>
        </w:rPr>
        <w:t xml:space="preserve"> e do preço proposto</w:t>
      </w:r>
      <w:r w:rsidR="00690C7E">
        <w:rPr>
          <w:rFonts w:ascii="Arial" w:hAnsi="Arial" w:cs="Arial"/>
          <w:sz w:val="22"/>
          <w:szCs w:val="22"/>
        </w:rPr>
        <w:t xml:space="preserve"> </w:t>
      </w:r>
      <w:r w:rsidR="00690C7E" w:rsidRPr="00690C7E">
        <w:rPr>
          <w:rFonts w:ascii="Arial" w:hAnsi="Arial" w:cs="Arial"/>
          <w:b/>
          <w:bCs/>
          <w:sz w:val="22"/>
          <w:szCs w:val="22"/>
        </w:rPr>
        <w:t>(fls. 14-V)</w:t>
      </w:r>
      <w:r w:rsidRPr="00D23FD1">
        <w:rPr>
          <w:rFonts w:ascii="Arial" w:hAnsi="Arial" w:cs="Arial"/>
          <w:sz w:val="22"/>
          <w:szCs w:val="22"/>
        </w:rPr>
        <w:t>, vislumbrando</w:t>
      </w:r>
      <w:r w:rsidRPr="00AF6801">
        <w:rPr>
          <w:rFonts w:ascii="Arial" w:hAnsi="Arial" w:cs="Arial"/>
          <w:sz w:val="22"/>
          <w:szCs w:val="22"/>
        </w:rPr>
        <w:t xml:space="preserve">-se que a referida contratação se revela </w:t>
      </w:r>
      <w:r w:rsidR="008B7C65" w:rsidRPr="00466A45">
        <w:rPr>
          <w:rFonts w:ascii="Arial" w:hAnsi="Arial" w:cs="Arial"/>
          <w:sz w:val="22"/>
          <w:szCs w:val="22"/>
        </w:rPr>
        <w:t xml:space="preserve">imprescindível </w:t>
      </w:r>
      <w:r w:rsidR="008B7C65">
        <w:rPr>
          <w:rFonts w:ascii="Arial" w:hAnsi="Arial" w:cs="Arial"/>
          <w:sz w:val="22"/>
          <w:szCs w:val="22"/>
        </w:rPr>
        <w:t>para que</w:t>
      </w:r>
      <w:r w:rsidR="008B7C65" w:rsidRPr="00466A45">
        <w:rPr>
          <w:rFonts w:ascii="Arial" w:hAnsi="Arial" w:cs="Arial"/>
          <w:sz w:val="22"/>
          <w:szCs w:val="22"/>
        </w:rPr>
        <w:t xml:space="preserve"> sejam procedidos os serviços de manutenção programada (revisões obrigatórias), dentro do período de garantia dos veículos, de acordo com o manual do fabricante, ou seja, efetuados </w:t>
      </w:r>
      <w:r w:rsidR="008B7C65" w:rsidRPr="00466A45">
        <w:rPr>
          <w:rFonts w:ascii="Arial" w:hAnsi="Arial" w:cs="Arial"/>
          <w:i/>
          <w:iCs/>
          <w:sz w:val="22"/>
          <w:szCs w:val="22"/>
        </w:rPr>
        <w:t>exclusivamente</w:t>
      </w:r>
      <w:r w:rsidR="008B7C65" w:rsidRPr="00466A45">
        <w:rPr>
          <w:rFonts w:ascii="Arial" w:hAnsi="Arial" w:cs="Arial"/>
          <w:sz w:val="22"/>
          <w:szCs w:val="22"/>
        </w:rPr>
        <w:t xml:space="preserve"> pelas </w:t>
      </w:r>
      <w:r w:rsidR="008B7C65" w:rsidRPr="00466A45">
        <w:rPr>
          <w:rFonts w:ascii="Arial" w:hAnsi="Arial" w:cs="Arial"/>
          <w:i/>
          <w:iCs/>
          <w:sz w:val="22"/>
          <w:szCs w:val="22"/>
        </w:rPr>
        <w:t>concessionárias autorizadas</w:t>
      </w:r>
      <w:r w:rsidR="008B7C65" w:rsidRPr="00466A45">
        <w:rPr>
          <w:rFonts w:ascii="Arial" w:hAnsi="Arial" w:cs="Arial"/>
          <w:sz w:val="22"/>
          <w:szCs w:val="22"/>
        </w:rPr>
        <w:t>, com os tempos pré-fixados</w:t>
      </w:r>
      <w:r w:rsidRPr="0045511F">
        <w:rPr>
          <w:rFonts w:ascii="Arial" w:hAnsi="Arial" w:cs="Arial"/>
          <w:sz w:val="22"/>
          <w:szCs w:val="22"/>
        </w:rPr>
        <w:t>.</w:t>
      </w:r>
    </w:p>
    <w:p w14:paraId="4F6625C0" w14:textId="77777777" w:rsidR="00FE4701" w:rsidRPr="00FE4701" w:rsidRDefault="00FE4701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E4E158" w14:textId="3C8FB2C4" w:rsidR="003A0D69" w:rsidRDefault="0045511F" w:rsidP="003A0D69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A escolha recaiu sobre a empresa </w:t>
      </w:r>
      <w:r w:rsidR="008B7C65" w:rsidRPr="00466A45">
        <w:rPr>
          <w:rFonts w:ascii="Arial" w:hAnsi="Arial" w:cs="Arial"/>
          <w:b/>
          <w:sz w:val="22"/>
          <w:szCs w:val="22"/>
        </w:rPr>
        <w:t>PAVEPE PARÁ DE MINAS VEÍCULOS E PEÇAS LTDA</w:t>
      </w:r>
      <w:r w:rsidR="008B7C65" w:rsidRPr="00466A45">
        <w:rPr>
          <w:rFonts w:ascii="Arial" w:hAnsi="Arial" w:cs="Arial"/>
          <w:sz w:val="22"/>
          <w:szCs w:val="22"/>
        </w:rPr>
        <w:t>, pessoa jurídica de direito privado, inscrita no CNPJ sob o nº 19.807.015/0001-94, com sede na Avenida Professor Melo Cançado, nº 1.100, Bairro São José, em Pará de Minas-MG</w:t>
      </w:r>
      <w:r w:rsidRPr="00AF6801">
        <w:rPr>
          <w:rFonts w:ascii="Arial" w:hAnsi="Arial" w:cs="Arial"/>
          <w:sz w:val="22"/>
          <w:szCs w:val="22"/>
        </w:rPr>
        <w:t>, que, nos termos da lei,</w:t>
      </w:r>
      <w:r w:rsidRPr="00AF6801">
        <w:rPr>
          <w:rFonts w:ascii="Arial" w:hAnsi="Arial" w:cs="Arial"/>
          <w:color w:val="auto"/>
          <w:sz w:val="22"/>
          <w:szCs w:val="22"/>
        </w:rPr>
        <w:t xml:space="preserve"> demonstrou sua habilitação jurídica, regularidade fiscal e trabalhista, estando devidamente instruído o processo, a saber:</w:t>
      </w:r>
    </w:p>
    <w:p w14:paraId="72300448" w14:textId="77777777" w:rsidR="003A0D69" w:rsidRPr="0045511F" w:rsidRDefault="003A0D69" w:rsidP="003A0D69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74704E13" w14:textId="3D367B26" w:rsidR="0045511F" w:rsidRPr="0045511F" w:rsidRDefault="0045511F" w:rsidP="0045511F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  <w:bCs/>
        </w:rPr>
        <w:t>Proposta Comercial</w:t>
      </w:r>
      <w:r>
        <w:rPr>
          <w:rFonts w:ascii="Arial" w:hAnsi="Arial" w:cs="Arial"/>
          <w:bCs/>
        </w:rPr>
        <w:t xml:space="preserve"> com</w:t>
      </w:r>
      <w:r w:rsidRPr="00AF680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</w:t>
      </w:r>
      <w:r w:rsidRPr="00AF6801">
        <w:rPr>
          <w:rFonts w:ascii="Arial" w:hAnsi="Arial" w:cs="Arial"/>
        </w:rPr>
        <w:t>úmero da conta corrente do CNPJ titular do contrato e número de telefone e e-mail para contato</w:t>
      </w:r>
      <w:r w:rsidRPr="00AF6801">
        <w:rPr>
          <w:rFonts w:ascii="Arial" w:hAnsi="Arial" w:cs="Arial"/>
          <w:bCs/>
        </w:rPr>
        <w:t xml:space="preserve"> –</w:t>
      </w:r>
      <w:r w:rsidRPr="00AF6801">
        <w:rPr>
          <w:rFonts w:ascii="Arial" w:hAnsi="Arial" w:cs="Arial"/>
          <w:b/>
        </w:rPr>
        <w:t xml:space="preserve"> fl. </w:t>
      </w:r>
      <w:r w:rsidR="00690C7E">
        <w:rPr>
          <w:rFonts w:ascii="Arial" w:hAnsi="Arial" w:cs="Arial"/>
          <w:b/>
        </w:rPr>
        <w:t>16</w:t>
      </w:r>
    </w:p>
    <w:p w14:paraId="2FEA5B2F" w14:textId="466CE5FC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Prova de inscrição no CNPJ </w:t>
      </w:r>
      <w:r w:rsidR="00806BAA" w:rsidRPr="00FE4701">
        <w:rPr>
          <w:rFonts w:ascii="Arial" w:hAnsi="Arial" w:cs="Arial"/>
        </w:rPr>
        <w:t xml:space="preserve">- </w:t>
      </w:r>
      <w:r w:rsidRPr="00FE4701">
        <w:rPr>
          <w:rFonts w:ascii="Arial" w:hAnsi="Arial" w:cs="Arial"/>
          <w:b/>
        </w:rPr>
        <w:t>fl.</w:t>
      </w:r>
      <w:r w:rsidR="003A0D69">
        <w:rPr>
          <w:rFonts w:ascii="Arial" w:hAnsi="Arial" w:cs="Arial"/>
          <w:b/>
        </w:rPr>
        <w:t xml:space="preserve"> </w:t>
      </w:r>
      <w:r w:rsidR="00690C7E">
        <w:rPr>
          <w:rFonts w:ascii="Arial" w:hAnsi="Arial" w:cs="Arial"/>
          <w:b/>
        </w:rPr>
        <w:t>21</w:t>
      </w:r>
      <w:r w:rsidRPr="00FE4701">
        <w:rPr>
          <w:rFonts w:ascii="Arial" w:hAnsi="Arial" w:cs="Arial"/>
          <w:b/>
        </w:rPr>
        <w:t xml:space="preserve"> </w:t>
      </w:r>
    </w:p>
    <w:p w14:paraId="4CB8D93D" w14:textId="31C2570D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Ato constitutivo, estatuto ou contrato social em vigor e suas alterações, devidamente registrados, em se tratando de sociedades comerciais – </w:t>
      </w:r>
      <w:r w:rsidRPr="00FE4701">
        <w:rPr>
          <w:rFonts w:ascii="Arial" w:hAnsi="Arial" w:cs="Arial"/>
          <w:b/>
        </w:rPr>
        <w:t>fls.</w:t>
      </w:r>
      <w:r w:rsidR="00806BAA" w:rsidRPr="00FE4701">
        <w:rPr>
          <w:rFonts w:ascii="Arial" w:hAnsi="Arial" w:cs="Arial"/>
          <w:b/>
        </w:rPr>
        <w:t xml:space="preserve"> </w:t>
      </w:r>
      <w:r w:rsidR="00690C7E">
        <w:rPr>
          <w:rFonts w:ascii="Arial" w:hAnsi="Arial" w:cs="Arial"/>
          <w:b/>
        </w:rPr>
        <w:t>22/25</w:t>
      </w:r>
      <w:r w:rsidRPr="00FE4701">
        <w:rPr>
          <w:rFonts w:ascii="Arial" w:hAnsi="Arial" w:cs="Arial"/>
          <w:b/>
        </w:rPr>
        <w:t xml:space="preserve"> </w:t>
      </w:r>
    </w:p>
    <w:p w14:paraId="6A72D7B8" w14:textId="69CCD4FC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Cópia dos documentos pessoais do representante legal da empresa</w:t>
      </w:r>
      <w:r w:rsidR="0045511F">
        <w:rPr>
          <w:rFonts w:ascii="Arial" w:hAnsi="Arial" w:cs="Arial"/>
        </w:rPr>
        <w:t xml:space="preserve"> </w:t>
      </w:r>
      <w:r w:rsidRPr="00FE4701">
        <w:rPr>
          <w:rFonts w:ascii="Arial" w:hAnsi="Arial" w:cs="Arial"/>
        </w:rPr>
        <w:t xml:space="preserve">– </w:t>
      </w:r>
      <w:r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26</w:t>
      </w:r>
    </w:p>
    <w:p w14:paraId="52CA9086" w14:textId="185156E1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Declaração de que não emprega menor de 16 anos, salvo na condição de aprendiz </w:t>
      </w:r>
      <w:r w:rsidR="00644667" w:rsidRPr="00FE4701">
        <w:rPr>
          <w:rFonts w:ascii="Arial" w:hAnsi="Arial" w:cs="Arial"/>
        </w:rPr>
        <w:t>–</w:t>
      </w:r>
      <w:r w:rsidRPr="00FE4701">
        <w:rPr>
          <w:rFonts w:ascii="Arial" w:hAnsi="Arial" w:cs="Arial"/>
        </w:rPr>
        <w:t xml:space="preserve"> </w:t>
      </w:r>
      <w:r w:rsidR="00644667" w:rsidRPr="00FE4701">
        <w:rPr>
          <w:rFonts w:ascii="Arial" w:hAnsi="Arial" w:cs="Arial"/>
          <w:b/>
        </w:rPr>
        <w:t>fl.</w:t>
      </w:r>
      <w:r w:rsidR="00806BAA" w:rsidRPr="00FE4701">
        <w:rPr>
          <w:rFonts w:ascii="Arial" w:hAnsi="Arial" w:cs="Arial"/>
          <w:b/>
        </w:rPr>
        <w:t xml:space="preserve"> </w:t>
      </w:r>
      <w:r w:rsidR="00690C7E">
        <w:rPr>
          <w:rFonts w:ascii="Arial" w:hAnsi="Arial" w:cs="Arial"/>
          <w:b/>
        </w:rPr>
        <w:t>27</w:t>
      </w:r>
    </w:p>
    <w:p w14:paraId="3C8C91F2" w14:textId="2D76516C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Municipal do domicílio ou sede, mediante apresentação de certidão emitida pela Secretaria competente do Município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2</w:t>
      </w:r>
      <w:r w:rsidR="005E3C30">
        <w:rPr>
          <w:rFonts w:ascii="Arial" w:hAnsi="Arial" w:cs="Arial"/>
          <w:b/>
        </w:rPr>
        <w:t>8</w:t>
      </w:r>
    </w:p>
    <w:p w14:paraId="77C7C31B" w14:textId="3AA256BF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Estadual, mediante apresentação de certidão emitida pelo órgão competente do estado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2</w:t>
      </w:r>
      <w:r w:rsidR="005E3C30">
        <w:rPr>
          <w:rFonts w:ascii="Arial" w:hAnsi="Arial" w:cs="Arial"/>
          <w:b/>
        </w:rPr>
        <w:t>9</w:t>
      </w:r>
    </w:p>
    <w:p w14:paraId="4594ECFA" w14:textId="2A418996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3</w:t>
      </w:r>
      <w:r w:rsidR="005E3C30">
        <w:rPr>
          <w:rFonts w:ascii="Arial" w:hAnsi="Arial" w:cs="Arial"/>
          <w:b/>
        </w:rPr>
        <w:t>0</w:t>
      </w:r>
    </w:p>
    <w:p w14:paraId="7D540A8F" w14:textId="7893F67E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relativa ao Fundo de Garantia por Tempo de Serviço (FGTS), demonstrando situação regular no cumprimento dos encargos sociais instituídos por lei</w:t>
      </w:r>
      <w:r w:rsidR="00F27F2D" w:rsidRPr="00FE4701">
        <w:rPr>
          <w:rFonts w:ascii="Arial" w:hAnsi="Arial" w:cs="Arial"/>
        </w:rPr>
        <w:t xml:space="preserve"> – </w:t>
      </w:r>
      <w:r w:rsidR="00F27F2D"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3</w:t>
      </w:r>
      <w:r w:rsidR="005E3C30">
        <w:rPr>
          <w:rFonts w:ascii="Arial" w:hAnsi="Arial" w:cs="Arial"/>
          <w:b/>
        </w:rPr>
        <w:t>1</w:t>
      </w:r>
    </w:p>
    <w:p w14:paraId="1C2604B1" w14:textId="24BC12AC" w:rsidR="003E03AB" w:rsidRDefault="003E03AB" w:rsidP="005E3C3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inexistência de débitos inadimplidos perante a Justiça do Trabalho, mediante a apresentação de certidão negativa, nos termos do Título VII-A da CLT, aprovada pelo Decreto-Lei nº 5.452, de 1º de maio de 1943 – CNDT</w:t>
      </w:r>
      <w:r w:rsidR="00F27F2D" w:rsidRPr="00FE4701">
        <w:rPr>
          <w:rFonts w:ascii="Arial" w:hAnsi="Arial" w:cs="Arial"/>
        </w:rPr>
        <w:t xml:space="preserve"> – </w:t>
      </w:r>
      <w:r w:rsidR="00F27F2D" w:rsidRPr="00FE4701">
        <w:rPr>
          <w:rFonts w:ascii="Arial" w:hAnsi="Arial" w:cs="Arial"/>
          <w:b/>
        </w:rPr>
        <w:t xml:space="preserve">fl. </w:t>
      </w:r>
      <w:r w:rsidR="00690C7E">
        <w:rPr>
          <w:rFonts w:ascii="Arial" w:hAnsi="Arial" w:cs="Arial"/>
          <w:b/>
        </w:rPr>
        <w:t>3</w:t>
      </w:r>
      <w:r w:rsidR="005E3C30">
        <w:rPr>
          <w:rFonts w:ascii="Arial" w:hAnsi="Arial" w:cs="Arial"/>
          <w:b/>
        </w:rPr>
        <w:t>2</w:t>
      </w:r>
      <w:r w:rsidR="003A0D69">
        <w:rPr>
          <w:rFonts w:ascii="Arial" w:hAnsi="Arial" w:cs="Arial"/>
          <w:b/>
        </w:rPr>
        <w:t>.</w:t>
      </w:r>
    </w:p>
    <w:p w14:paraId="1AD63DD3" w14:textId="77777777" w:rsidR="005E3C30" w:rsidRPr="00FE4701" w:rsidRDefault="005E3C30" w:rsidP="005E3C30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11BC421F" w14:textId="77777777" w:rsidR="00785115" w:rsidRPr="00AF6801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Por todo exposto, instruído o processo e cumprido o exigido pelo artigo 26, parágrafo único, incisos II e III, da Lei 8.666/93, esta Divisão de Licitação encaminha o processo para a </w:t>
      </w:r>
      <w:r w:rsidRPr="00AF6801">
        <w:rPr>
          <w:rFonts w:ascii="Arial" w:hAnsi="Arial" w:cs="Arial"/>
          <w:i/>
          <w:iCs/>
          <w:sz w:val="22"/>
          <w:szCs w:val="22"/>
        </w:rPr>
        <w:t>Diretoria Contábil, Orçamentária e Financeira</w:t>
      </w:r>
      <w:r w:rsidRPr="00AF6801">
        <w:rPr>
          <w:rFonts w:ascii="Arial" w:hAnsi="Arial" w:cs="Arial"/>
          <w:sz w:val="22"/>
          <w:szCs w:val="22"/>
        </w:rPr>
        <w:t xml:space="preserve"> para informação da dotação orçamentária.</w:t>
      </w:r>
    </w:p>
    <w:p w14:paraId="7E414DF0" w14:textId="0225CDB3" w:rsidR="00785115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7F69C" w14:textId="40787AC2" w:rsidR="00785115" w:rsidRPr="00AF6801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Pará de Minas, </w:t>
      </w:r>
      <w:r w:rsidR="007B4013">
        <w:rPr>
          <w:rFonts w:ascii="Arial" w:hAnsi="Arial" w:cs="Arial"/>
          <w:sz w:val="22"/>
          <w:szCs w:val="22"/>
        </w:rPr>
        <w:t>14</w:t>
      </w:r>
      <w:r w:rsidRPr="00940694">
        <w:rPr>
          <w:rFonts w:ascii="Arial" w:hAnsi="Arial" w:cs="Arial"/>
          <w:sz w:val="22"/>
          <w:szCs w:val="22"/>
        </w:rPr>
        <w:t xml:space="preserve"> de </w:t>
      </w:r>
      <w:r w:rsidR="00540276">
        <w:rPr>
          <w:rFonts w:ascii="Arial" w:hAnsi="Arial" w:cs="Arial"/>
          <w:sz w:val="22"/>
          <w:szCs w:val="22"/>
        </w:rPr>
        <w:t>maio</w:t>
      </w:r>
      <w:r w:rsidRPr="00940694">
        <w:rPr>
          <w:rFonts w:ascii="Arial" w:hAnsi="Arial" w:cs="Arial"/>
          <w:sz w:val="22"/>
          <w:szCs w:val="22"/>
        </w:rPr>
        <w:t xml:space="preserve"> de 2020.</w:t>
      </w:r>
    </w:p>
    <w:p w14:paraId="0B9C936B" w14:textId="0634DB82" w:rsidR="00785115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D0340F" w14:textId="53D1E7CA" w:rsidR="00785115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B613E3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69E22B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Evandro Rafael Silva</w:t>
      </w:r>
    </w:p>
    <w:p w14:paraId="3B95C4DD" w14:textId="68B1C08D" w:rsidR="0099559F" w:rsidRPr="00FE4701" w:rsidRDefault="00785115" w:rsidP="008B7C6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Divisão de Licitação</w:t>
      </w:r>
    </w:p>
    <w:sectPr w:rsidR="0099559F" w:rsidRPr="00FE4701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71F9A" w14:textId="77777777" w:rsidR="0086087D" w:rsidRDefault="0086087D">
      <w:r>
        <w:separator/>
      </w:r>
    </w:p>
  </w:endnote>
  <w:endnote w:type="continuationSeparator" w:id="0">
    <w:p w14:paraId="5833215A" w14:textId="77777777" w:rsidR="0086087D" w:rsidRDefault="0086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40DF2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55928B" wp14:editId="1DE3CAE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E162B" w14:textId="77777777" w:rsidR="0086087D" w:rsidRDefault="0086087D">
      <w:r>
        <w:separator/>
      </w:r>
    </w:p>
  </w:footnote>
  <w:footnote w:type="continuationSeparator" w:id="0">
    <w:p w14:paraId="5D71A01C" w14:textId="77777777" w:rsidR="0086087D" w:rsidRDefault="0086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D9224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93939F" wp14:editId="7E933497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D27C5"/>
    <w:rsid w:val="00120A6D"/>
    <w:rsid w:val="00124C0A"/>
    <w:rsid w:val="001972B6"/>
    <w:rsid w:val="001A6539"/>
    <w:rsid w:val="001D021C"/>
    <w:rsid w:val="001D6B6A"/>
    <w:rsid w:val="001F3AF1"/>
    <w:rsid w:val="00284F5B"/>
    <w:rsid w:val="003622F3"/>
    <w:rsid w:val="00366E1B"/>
    <w:rsid w:val="003A0D69"/>
    <w:rsid w:val="003B54A2"/>
    <w:rsid w:val="003E03AB"/>
    <w:rsid w:val="0045511F"/>
    <w:rsid w:val="00476B3B"/>
    <w:rsid w:val="00496C76"/>
    <w:rsid w:val="004C0FF8"/>
    <w:rsid w:val="004F01B4"/>
    <w:rsid w:val="00505109"/>
    <w:rsid w:val="00540276"/>
    <w:rsid w:val="0057670C"/>
    <w:rsid w:val="005E3C30"/>
    <w:rsid w:val="00644667"/>
    <w:rsid w:val="00690C7E"/>
    <w:rsid w:val="0070691B"/>
    <w:rsid w:val="00744EA8"/>
    <w:rsid w:val="00763FED"/>
    <w:rsid w:val="00770639"/>
    <w:rsid w:val="007716C7"/>
    <w:rsid w:val="00785115"/>
    <w:rsid w:val="007B4013"/>
    <w:rsid w:val="007C0C08"/>
    <w:rsid w:val="007D5A15"/>
    <w:rsid w:val="00800C68"/>
    <w:rsid w:val="00806BAA"/>
    <w:rsid w:val="0086087D"/>
    <w:rsid w:val="00863DF6"/>
    <w:rsid w:val="008B7C65"/>
    <w:rsid w:val="00927394"/>
    <w:rsid w:val="00944C2A"/>
    <w:rsid w:val="009727BD"/>
    <w:rsid w:val="0099559F"/>
    <w:rsid w:val="009E26A8"/>
    <w:rsid w:val="00A06200"/>
    <w:rsid w:val="00AA3B65"/>
    <w:rsid w:val="00B80E2A"/>
    <w:rsid w:val="00BF7A4D"/>
    <w:rsid w:val="00C16B36"/>
    <w:rsid w:val="00E060CE"/>
    <w:rsid w:val="00E512DE"/>
    <w:rsid w:val="00E55F77"/>
    <w:rsid w:val="00ED100B"/>
    <w:rsid w:val="00F104F3"/>
    <w:rsid w:val="00F11AA3"/>
    <w:rsid w:val="00F27F2D"/>
    <w:rsid w:val="00FD631F"/>
    <w:rsid w:val="00FE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B3B26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72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72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551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55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Licitação Câmara</cp:lastModifiedBy>
  <cp:revision>9</cp:revision>
  <cp:lastPrinted>2020-05-05T13:58:00Z</cp:lastPrinted>
  <dcterms:created xsi:type="dcterms:W3CDTF">2020-05-05T13:00:00Z</dcterms:created>
  <dcterms:modified xsi:type="dcterms:W3CDTF">2020-05-14T16:17:00Z</dcterms:modified>
</cp:coreProperties>
</file>